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20" w:rsidRDefault="00AC40D7">
      <w:pPr>
        <w:pStyle w:val="a9"/>
        <w:tabs>
          <w:tab w:val="left" w:pos="5103"/>
        </w:tabs>
        <w:ind w:left="720"/>
        <w:rPr>
          <w:rFonts w:ascii="標楷體" w:eastAsia="標楷體" w:hAnsi="標楷體"/>
          <w:b/>
          <w:sz w:val="32"/>
        </w:rPr>
      </w:pPr>
      <w:r>
        <w:rPr>
          <w:rFonts w:ascii="標楷體" w:eastAsia="標楷體" w:hAnsi="標楷體"/>
          <w:b/>
          <w:sz w:val="32"/>
        </w:rPr>
        <w:t xml:space="preserve">                                                                                                                                                                                                                                                                                                                                                                                                                                                                                                                                                                                                                                                                                                                                                                                                                                                                                                                                                                                                                                                                                                                                                                                                                                                                                                                                                                                                                                                                                                                                                                                                                                                                                                                                                                                                                                                                                                                                                                                                                                                                                                                                                                                                                                                                                                                                                                                                                                                                                                                                                                                                                                                                                                                                                                                                                                                                                                                                                                                                                                                                                                                                                                                                                                                                                                                                                                                                                                                                                                                                                                                                                                                                                                                                                                                                                                                                                                                                                                                                                                                                                                                                                                                                                                                                                                                                                                                                                                                                                                                                                                                                                                                                                                                                                                                                                                                                                                                                                                                                                                                                                                                                                                                                                                                                                                                                                                                                                                                                                                                                                                                                                                                                                                                                                                                                                                                                                                                                                                                                                                                                                                                                                                                                                                                                                                                                                                                                                                                                                                                                                                                                                                                                                                                                                                                                                                                                                                                                                                                                                                                                                                                                                                                                                                                                                                                                                                                                    亞洲大學社會工作學系碩士班研究生入學及修業規則</w:t>
      </w:r>
    </w:p>
    <w:p w:rsidR="00A16F20" w:rsidRDefault="00AC40D7">
      <w:pPr>
        <w:tabs>
          <w:tab w:val="left" w:pos="5103"/>
        </w:tabs>
        <w:jc w:val="center"/>
        <w:rPr>
          <w:rFonts w:ascii="標楷體" w:eastAsia="標楷體" w:hAnsi="標楷體"/>
          <w:b/>
          <w:sz w:val="32"/>
        </w:rPr>
      </w:pPr>
      <w:r>
        <w:rPr>
          <w:rFonts w:ascii="標楷體" w:eastAsia="標楷體" w:hAnsi="標楷體"/>
          <w:b/>
          <w:sz w:val="32"/>
        </w:rPr>
        <w:t>(11</w:t>
      </w:r>
      <w:r w:rsidR="005D4FCE">
        <w:rPr>
          <w:rFonts w:ascii="標楷體" w:eastAsia="標楷體" w:hAnsi="標楷體" w:hint="eastAsia"/>
          <w:b/>
          <w:sz w:val="32"/>
        </w:rPr>
        <w:t>3</w:t>
      </w:r>
      <w:r>
        <w:rPr>
          <w:rFonts w:ascii="標楷體" w:eastAsia="標楷體" w:hAnsi="標楷體"/>
          <w:b/>
          <w:sz w:val="32"/>
        </w:rPr>
        <w:t>學年入學新生適用)</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94</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1</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1</w:t>
      </w:r>
      <w:r>
        <w:rPr>
          <w:rFonts w:ascii="Times New Roman" w:eastAsia="標楷體" w:hAnsi="Times New Roman"/>
          <w:b w:val="0"/>
          <w:color w:val="auto"/>
          <w:sz w:val="20"/>
          <w:szCs w:val="20"/>
        </w:rPr>
        <w:t>次系</w:t>
      </w:r>
      <w:proofErr w:type="gramStart"/>
      <w:r>
        <w:rPr>
          <w:rFonts w:ascii="Times New Roman" w:eastAsia="標楷體" w:hAnsi="Times New Roman"/>
          <w:b w:val="0"/>
          <w:color w:val="auto"/>
          <w:sz w:val="20"/>
          <w:szCs w:val="20"/>
        </w:rPr>
        <w:t>務</w:t>
      </w:r>
      <w:proofErr w:type="gramEnd"/>
      <w:r>
        <w:rPr>
          <w:rFonts w:ascii="Times New Roman" w:eastAsia="標楷體" w:hAnsi="Times New Roman"/>
          <w:b w:val="0"/>
          <w:color w:val="auto"/>
          <w:sz w:val="20"/>
          <w:szCs w:val="20"/>
        </w:rPr>
        <w:t>會議通過</w:t>
      </w:r>
      <w:r>
        <w:rPr>
          <w:rFonts w:ascii="Times New Roman" w:eastAsia="標楷體" w:hAnsi="Times New Roman"/>
          <w:b w:val="0"/>
          <w:color w:val="auto"/>
          <w:sz w:val="20"/>
          <w:szCs w:val="20"/>
        </w:rPr>
        <w:t>(94.09.03)</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95</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2</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 xml:space="preserve">7 </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(96.04.11)</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96</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2</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9</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(97.06.25)</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97</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2</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3</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(98.03.18)</w:t>
      </w:r>
    </w:p>
    <w:p w:rsidR="00A16F20" w:rsidRDefault="00AC40D7">
      <w:pPr>
        <w:pStyle w:val="1"/>
        <w:tabs>
          <w:tab w:val="left" w:pos="5103"/>
        </w:tabs>
        <w:snapToGrid w:val="0"/>
        <w:spacing w:before="0" w:after="0"/>
        <w:jc w:val="right"/>
      </w:pPr>
      <w:r>
        <w:rPr>
          <w:rFonts w:ascii="Times New Roman" w:eastAsia="標楷體" w:hAnsi="Times New Roman"/>
          <w:b w:val="0"/>
          <w:color w:val="auto"/>
          <w:sz w:val="20"/>
          <w:szCs w:val="20"/>
        </w:rPr>
        <w:t xml:space="preserve">      99</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1</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7</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(100.01.05</w:t>
      </w:r>
      <w:r>
        <w:rPr>
          <w:rFonts w:ascii="Times New Roman" w:eastAsia="標楷體" w:hAnsi="Times New Roman"/>
          <w:b w:val="0"/>
          <w:color w:val="auto"/>
          <w:sz w:val="20"/>
          <w:szCs w:val="20"/>
        </w:rPr>
        <w:t>）</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101</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2</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8</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(102.06.19)</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105</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1</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2</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(105.10.12)</w:t>
      </w:r>
    </w:p>
    <w:p w:rsidR="00A16F20" w:rsidRDefault="00AC40D7">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b w:val="0"/>
          <w:color w:val="auto"/>
          <w:sz w:val="20"/>
          <w:szCs w:val="20"/>
        </w:rPr>
        <w:t>108</w:t>
      </w:r>
      <w:r>
        <w:rPr>
          <w:rFonts w:ascii="Times New Roman" w:eastAsia="標楷體" w:hAnsi="Times New Roman"/>
          <w:b w:val="0"/>
          <w:color w:val="auto"/>
          <w:sz w:val="20"/>
          <w:szCs w:val="20"/>
        </w:rPr>
        <w:t>學年度第</w:t>
      </w:r>
      <w:r>
        <w:rPr>
          <w:rFonts w:ascii="Times New Roman" w:eastAsia="標楷體" w:hAnsi="Times New Roman"/>
          <w:b w:val="0"/>
          <w:color w:val="auto"/>
          <w:sz w:val="20"/>
          <w:szCs w:val="20"/>
        </w:rPr>
        <w:t>1</w:t>
      </w:r>
      <w:r>
        <w:rPr>
          <w:rFonts w:ascii="Times New Roman" w:eastAsia="標楷體" w:hAnsi="Times New Roman"/>
          <w:b w:val="0"/>
          <w:color w:val="auto"/>
          <w:sz w:val="20"/>
          <w:szCs w:val="20"/>
        </w:rPr>
        <w:t>學期第</w:t>
      </w:r>
      <w:r>
        <w:rPr>
          <w:rFonts w:ascii="Times New Roman" w:eastAsia="標楷體" w:hAnsi="Times New Roman"/>
          <w:b w:val="0"/>
          <w:color w:val="auto"/>
          <w:sz w:val="20"/>
          <w:szCs w:val="20"/>
        </w:rPr>
        <w:t>2</w:t>
      </w:r>
      <w:r>
        <w:rPr>
          <w:rFonts w:ascii="Times New Roman" w:eastAsia="標楷體" w:hAnsi="Times New Roman"/>
          <w:b w:val="0"/>
          <w:color w:val="auto"/>
          <w:sz w:val="20"/>
          <w:szCs w:val="20"/>
        </w:rPr>
        <w:t>次系務會議修訂</w:t>
      </w:r>
      <w:r>
        <w:rPr>
          <w:rFonts w:ascii="Times New Roman" w:eastAsia="標楷體" w:hAnsi="Times New Roman"/>
          <w:b w:val="0"/>
          <w:color w:val="auto"/>
          <w:sz w:val="20"/>
          <w:szCs w:val="20"/>
        </w:rPr>
        <w:t>(108.09.25)</w:t>
      </w:r>
    </w:p>
    <w:p w:rsidR="005D4FCE" w:rsidRDefault="005D4FCE">
      <w:pPr>
        <w:pStyle w:val="1"/>
        <w:tabs>
          <w:tab w:val="left" w:pos="5103"/>
        </w:tabs>
        <w:snapToGrid w:val="0"/>
        <w:spacing w:before="0" w:after="0"/>
        <w:jc w:val="right"/>
        <w:rPr>
          <w:rFonts w:ascii="Times New Roman" w:eastAsia="標楷體" w:hAnsi="Times New Roman"/>
          <w:b w:val="0"/>
          <w:color w:val="auto"/>
          <w:sz w:val="20"/>
          <w:szCs w:val="20"/>
        </w:rPr>
      </w:pPr>
      <w:r>
        <w:rPr>
          <w:rFonts w:ascii="Times New Roman" w:eastAsia="標楷體" w:hAnsi="Times New Roman" w:hint="eastAsia"/>
          <w:b w:val="0"/>
          <w:color w:val="auto"/>
          <w:sz w:val="20"/>
          <w:szCs w:val="20"/>
        </w:rPr>
        <w:t>112</w:t>
      </w:r>
      <w:r>
        <w:rPr>
          <w:rFonts w:ascii="Times New Roman" w:eastAsia="標楷體" w:hAnsi="Times New Roman" w:hint="eastAsia"/>
          <w:b w:val="0"/>
          <w:color w:val="auto"/>
          <w:sz w:val="20"/>
          <w:szCs w:val="20"/>
        </w:rPr>
        <w:t>學年度第</w:t>
      </w:r>
      <w:r>
        <w:rPr>
          <w:rFonts w:ascii="Times New Roman" w:eastAsia="標楷體" w:hAnsi="Times New Roman" w:hint="eastAsia"/>
          <w:b w:val="0"/>
          <w:color w:val="auto"/>
          <w:sz w:val="20"/>
          <w:szCs w:val="20"/>
        </w:rPr>
        <w:t>2</w:t>
      </w:r>
      <w:r>
        <w:rPr>
          <w:rFonts w:ascii="Times New Roman" w:eastAsia="標楷體" w:hAnsi="Times New Roman" w:hint="eastAsia"/>
          <w:b w:val="0"/>
          <w:color w:val="auto"/>
          <w:sz w:val="20"/>
          <w:szCs w:val="20"/>
        </w:rPr>
        <w:t>學期第</w:t>
      </w:r>
      <w:r>
        <w:rPr>
          <w:rFonts w:ascii="Times New Roman" w:eastAsia="標楷體" w:hAnsi="Times New Roman" w:hint="eastAsia"/>
          <w:b w:val="0"/>
          <w:color w:val="auto"/>
          <w:sz w:val="20"/>
          <w:szCs w:val="20"/>
        </w:rPr>
        <w:t>9</w:t>
      </w:r>
      <w:r>
        <w:rPr>
          <w:rFonts w:ascii="Times New Roman" w:eastAsia="標楷體" w:hAnsi="Times New Roman" w:hint="eastAsia"/>
          <w:b w:val="0"/>
          <w:color w:val="auto"/>
          <w:sz w:val="20"/>
          <w:szCs w:val="20"/>
        </w:rPr>
        <w:t>次系務會議修訂</w:t>
      </w:r>
      <w:r>
        <w:rPr>
          <w:rFonts w:ascii="Times New Roman" w:eastAsia="標楷體" w:hAnsi="Times New Roman" w:hint="eastAsia"/>
          <w:b w:val="0"/>
          <w:color w:val="auto"/>
          <w:sz w:val="20"/>
          <w:szCs w:val="20"/>
        </w:rPr>
        <w:t>(113.06</w:t>
      </w:r>
      <w:r w:rsidR="00B77D90">
        <w:rPr>
          <w:rFonts w:ascii="Times New Roman" w:eastAsia="標楷體" w:hAnsi="Times New Roman" w:hint="eastAsia"/>
          <w:b w:val="0"/>
          <w:color w:val="auto"/>
          <w:sz w:val="20"/>
          <w:szCs w:val="20"/>
        </w:rPr>
        <w:t>.</w:t>
      </w:r>
      <w:r>
        <w:rPr>
          <w:rFonts w:ascii="Times New Roman" w:eastAsia="標楷體" w:hAnsi="Times New Roman" w:hint="eastAsia"/>
          <w:b w:val="0"/>
          <w:color w:val="auto"/>
          <w:sz w:val="20"/>
          <w:szCs w:val="20"/>
        </w:rPr>
        <w:t>21)</w:t>
      </w:r>
    </w:p>
    <w:p w:rsidR="00A16F20" w:rsidRDefault="00A16F20">
      <w:pPr>
        <w:pStyle w:val="1"/>
        <w:tabs>
          <w:tab w:val="left" w:pos="5103"/>
        </w:tabs>
        <w:snapToGrid w:val="0"/>
        <w:spacing w:before="0" w:after="0"/>
        <w:jc w:val="right"/>
        <w:rPr>
          <w:rFonts w:ascii="Times New Roman" w:eastAsia="標楷體" w:hAnsi="Times New Roman"/>
          <w:b w:val="0"/>
          <w:color w:val="auto"/>
          <w:sz w:val="20"/>
          <w:szCs w:val="20"/>
        </w:rPr>
      </w:pPr>
    </w:p>
    <w:p w:rsidR="00A16F20" w:rsidRDefault="00AC40D7">
      <w:pPr>
        <w:tabs>
          <w:tab w:val="left" w:pos="4962"/>
        </w:tabs>
        <w:jc w:val="both"/>
      </w:pPr>
      <w:r>
        <w:rPr>
          <w:rFonts w:ascii="標楷體" w:eastAsia="標楷體" w:hAnsi="標楷體"/>
          <w:b/>
          <w:sz w:val="28"/>
        </w:rPr>
        <w:t>壹、入學</w:t>
      </w:r>
    </w:p>
    <w:p w:rsidR="00A16F20" w:rsidRDefault="00AC40D7">
      <w:pPr>
        <w:pStyle w:val="a9"/>
        <w:numPr>
          <w:ilvl w:val="0"/>
          <w:numId w:val="1"/>
        </w:numPr>
        <w:rPr>
          <w:rFonts w:ascii="標楷體" w:eastAsia="標楷體" w:hAnsi="標楷體"/>
        </w:rPr>
      </w:pPr>
      <w:r>
        <w:rPr>
          <w:rFonts w:ascii="標楷體" w:eastAsia="標楷體" w:hAnsi="標楷體"/>
        </w:rPr>
        <w:t>本系碩士班研究生之入學及修業有關事項，依本校學則及本規則辦理。</w:t>
      </w:r>
    </w:p>
    <w:p w:rsidR="00A16F20" w:rsidRDefault="00AC40D7">
      <w:pPr>
        <w:pStyle w:val="a9"/>
        <w:numPr>
          <w:ilvl w:val="0"/>
          <w:numId w:val="1"/>
        </w:numPr>
        <w:jc w:val="both"/>
        <w:rPr>
          <w:rFonts w:ascii="標楷體" w:eastAsia="標楷體" w:hAnsi="標楷體"/>
        </w:rPr>
      </w:pPr>
      <w:r>
        <w:rPr>
          <w:rFonts w:ascii="標楷體" w:eastAsia="標楷體" w:hAnsi="標楷體"/>
        </w:rPr>
        <w:t>碩士班研究生以具備下列兩項條件之一且通過本系碩士班入學考試或甄試者為限：</w:t>
      </w:r>
    </w:p>
    <w:p w:rsidR="00A16F20" w:rsidRDefault="00AC40D7">
      <w:pPr>
        <w:pStyle w:val="a9"/>
        <w:numPr>
          <w:ilvl w:val="0"/>
          <w:numId w:val="2"/>
        </w:numPr>
        <w:ind w:left="426" w:firstLine="1"/>
        <w:jc w:val="both"/>
        <w:rPr>
          <w:rFonts w:ascii="標楷體" w:eastAsia="標楷體" w:hAnsi="標楷體"/>
        </w:rPr>
      </w:pPr>
      <w:r>
        <w:rPr>
          <w:rFonts w:ascii="標楷體" w:eastAsia="標楷體" w:hAnsi="標楷體"/>
        </w:rPr>
        <w:t>國內公立或已立案之私立大學（含獨立學院）或經教育部認可之國外大學畢業，得有學士學位者。</w:t>
      </w:r>
    </w:p>
    <w:p w:rsidR="00A16F20" w:rsidRDefault="00AC40D7">
      <w:pPr>
        <w:pStyle w:val="a9"/>
        <w:numPr>
          <w:ilvl w:val="0"/>
          <w:numId w:val="2"/>
        </w:numPr>
        <w:tabs>
          <w:tab w:val="left" w:pos="4796"/>
        </w:tabs>
        <w:jc w:val="both"/>
        <w:rPr>
          <w:rFonts w:ascii="標楷體" w:eastAsia="標楷體" w:hAnsi="標楷體"/>
        </w:rPr>
      </w:pPr>
      <w:r>
        <w:rPr>
          <w:rFonts w:ascii="標楷體" w:eastAsia="標楷體" w:hAnsi="標楷體"/>
        </w:rPr>
        <w:t>以同等學力資格報考者。</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本系碩士班研究生每學年招生名額，以教育部核定之招生名額為依據。</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碩士班入學考試項目、考試辦法及考試科目經本系系務會議訂定，並經本校招生委員會通過後，刊載於本校碩士班研究生招生簡章。</w:t>
      </w:r>
    </w:p>
    <w:p w:rsidR="00A16F20" w:rsidRDefault="00AC40D7">
      <w:pPr>
        <w:pStyle w:val="a7"/>
        <w:tabs>
          <w:tab w:val="left" w:pos="5103"/>
        </w:tabs>
        <w:jc w:val="both"/>
        <w:rPr>
          <w:rFonts w:ascii="標楷體" w:eastAsia="標楷體" w:hAnsi="標楷體"/>
          <w:b/>
          <w:sz w:val="28"/>
          <w:lang w:eastAsia="zh-TW"/>
        </w:rPr>
      </w:pPr>
      <w:r>
        <w:rPr>
          <w:rFonts w:ascii="標楷體" w:eastAsia="標楷體" w:hAnsi="標楷體"/>
          <w:b/>
          <w:sz w:val="28"/>
          <w:lang w:eastAsia="zh-TW"/>
        </w:rPr>
        <w:t>貳、修業與選課</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本系碩士班研究生之修業年限，依教育部及本校相關規定，以1至4年為限。</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 xml:space="preserve">本系碩士班課程主要分為3部份，包括校定必修課程、系定必修課程及系定選修課程。校定必修課程係指碩士論文，計0學分；系定必修課計15學分；系定選修課程計12學分；合計至少須修滿27學分（含碩士論文）。 </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本系碩士班研究生應於修業期間，每學期至少參與1次校外之學術研討會。</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本系碩士班研究生選修非本系開授之碩士班課程，須經系</w:t>
      </w:r>
      <w:r w:rsidR="005D4FCE">
        <w:rPr>
          <w:rFonts w:ascii="標楷體" w:eastAsia="標楷體" w:hAnsi="標楷體" w:hint="eastAsia"/>
        </w:rPr>
        <w:t>務會議通過</w:t>
      </w:r>
      <w:r>
        <w:rPr>
          <w:rFonts w:ascii="標楷體" w:eastAsia="標楷體" w:hAnsi="標楷體"/>
        </w:rPr>
        <w:t>，方計入其畢業學分。</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入學前已在他校獲得碩士學位或取得碩士學分班學分者，其原修習課程如與本系碩士班課程相同，其學分之採計，依據本校學則之規定，至多得抵免本系規定畢業總學分數之二分之一，並由本系系主任審查抵免之。</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 xml:space="preserve">本系碩士班開設社會工作實習課程，分為暑期機構實習及獨立﹝或專案﹞研究實習，碩士班研究生應擇一修習。該課程計2學分，總實習時數至少應達240小時。詳細實施辦法依照本系碩士班社會工作實習相關規定辦理。 </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若欲取得報考社會工作師證照之資格，但大學為非社會工作科系畢業者，可於修業期間，下修大學部符合報考社工師證照考試資格之各相關課程及實習，惟具有社工相關工作經驗滿二年者，得免修習社會工作實務導論，其社工相關工作經驗</w:t>
      </w:r>
      <w:r>
        <w:rPr>
          <w:rFonts w:ascii="標楷體" w:eastAsia="標楷體" w:hAnsi="標楷體"/>
        </w:rPr>
        <w:lastRenderedPageBreak/>
        <w:t>之認定由系主任認定之。</w:t>
      </w:r>
    </w:p>
    <w:p w:rsidR="00A16F20" w:rsidRDefault="00AC40D7">
      <w:pPr>
        <w:pStyle w:val="a7"/>
        <w:tabs>
          <w:tab w:val="left" w:pos="5103"/>
        </w:tabs>
        <w:jc w:val="both"/>
        <w:rPr>
          <w:rFonts w:ascii="標楷體" w:eastAsia="標楷體" w:hAnsi="標楷體"/>
          <w:b/>
          <w:sz w:val="28"/>
          <w:lang w:eastAsia="zh-TW"/>
        </w:rPr>
      </w:pPr>
      <w:r>
        <w:rPr>
          <w:rFonts w:ascii="標楷體" w:eastAsia="標楷體" w:hAnsi="標楷體"/>
          <w:b/>
          <w:sz w:val="28"/>
          <w:lang w:eastAsia="zh-TW"/>
        </w:rPr>
        <w:t>叁、論文指導與學位考試</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研究生指導教授人選，由研究生自行與本系專兼任教師洽商，填具研究生指導同意書後，經系主任同意後決定，並向系辦公室書面核備。如研究生欲洽請非本系專兼任教師擔任指導教授，需另洽商本系專任教師一人聯合指導，經系主任同意後決定。教師每年度新收指導研究生論文人數以3人為限。</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得於修業第3學期起提出碩士論文題目。該論文題目之提出，應於本系碩士班「論文專題討論」課程中提出碩士論文研究計畫書之報告，以廣泛徵詢本系碩士班全體師生意見，並與指導教授討論修訂後，交付該碩士論文研究計畫書審查委員會審查。</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 xml:space="preserve">碩士論文計畫書審查委員會應由包括指導教授之校內外共3至5位審查委員組成，委員需有3分之1﹝含﹞以上為校外人士。審查委員之遴聘，由指導教授就校內外學者專家中對研究生所提論文有專門研究，並具備後列資格之一者決定之： </w:t>
      </w:r>
    </w:p>
    <w:p w:rsidR="00A16F20" w:rsidRDefault="00AC40D7">
      <w:pPr>
        <w:pStyle w:val="a9"/>
        <w:tabs>
          <w:tab w:val="left" w:pos="5103"/>
        </w:tabs>
        <w:ind w:left="432"/>
        <w:jc w:val="both"/>
        <w:rPr>
          <w:rFonts w:ascii="標楷體" w:eastAsia="標楷體" w:hAnsi="標楷體"/>
        </w:rPr>
      </w:pPr>
      <w:r>
        <w:rPr>
          <w:rFonts w:ascii="標楷體" w:eastAsia="標楷體" w:hAnsi="標楷體"/>
        </w:rPr>
        <w:t>1.擔任或曾任教授、副教授、助理教授者。</w:t>
      </w:r>
    </w:p>
    <w:p w:rsidR="00A16F20" w:rsidRDefault="00AC40D7">
      <w:pPr>
        <w:pStyle w:val="a9"/>
        <w:tabs>
          <w:tab w:val="left" w:pos="5103"/>
        </w:tabs>
        <w:ind w:left="432"/>
        <w:jc w:val="both"/>
        <w:rPr>
          <w:rFonts w:ascii="標楷體" w:eastAsia="標楷體" w:hAnsi="標楷體"/>
        </w:rPr>
      </w:pPr>
      <w:r>
        <w:rPr>
          <w:rFonts w:ascii="標楷體" w:eastAsia="標楷體" w:hAnsi="標楷體"/>
        </w:rPr>
        <w:t>2.擔任或曾任中央研究院院士、中央研究院研究員、副研究員或助理研究員者。</w:t>
      </w:r>
    </w:p>
    <w:p w:rsidR="00A16F20" w:rsidRDefault="00AC40D7">
      <w:pPr>
        <w:pStyle w:val="a9"/>
        <w:tabs>
          <w:tab w:val="left" w:pos="5103"/>
        </w:tabs>
        <w:ind w:left="432"/>
        <w:jc w:val="both"/>
        <w:rPr>
          <w:rFonts w:ascii="標楷體" w:eastAsia="標楷體" w:hAnsi="標楷體"/>
        </w:rPr>
      </w:pPr>
      <w:r>
        <w:rPr>
          <w:rFonts w:ascii="標楷體" w:eastAsia="標楷體" w:hAnsi="標楷體"/>
        </w:rPr>
        <w:t>3.獲有博士學位，在學術上著有成就者。</w:t>
      </w:r>
    </w:p>
    <w:p w:rsidR="00A16F20" w:rsidRDefault="00AC40D7">
      <w:pPr>
        <w:pStyle w:val="a9"/>
        <w:tabs>
          <w:tab w:val="left" w:pos="0"/>
        </w:tabs>
        <w:ind w:left="432"/>
        <w:jc w:val="both"/>
        <w:rPr>
          <w:rFonts w:ascii="標楷體" w:eastAsia="標楷體" w:hAnsi="標楷體"/>
        </w:rPr>
      </w:pPr>
      <w:r>
        <w:rPr>
          <w:rFonts w:ascii="標楷體" w:eastAsia="標楷體" w:hAnsi="標楷體"/>
        </w:rPr>
        <w:t>4.屬於稀少性或特殊性學科，在學術上或專業上著有成就者。</w:t>
      </w:r>
      <w:r>
        <w:rPr>
          <w:rFonts w:ascii="標楷體" w:eastAsia="標楷體" w:hAnsi="標楷體"/>
        </w:rPr>
        <w:br/>
      </w:r>
      <w:r>
        <w:rPr>
          <w:rFonts w:ascii="標楷體" w:eastAsia="標楷體" w:hAnsi="標楷體"/>
        </w:rPr>
        <w:tab/>
        <w:t>前項第3款、第4款之提聘資格認定標準，由本系系務會議認定之。</w:t>
      </w:r>
      <w:r>
        <w:rPr>
          <w:rFonts w:ascii="標楷體" w:eastAsia="標楷體" w:hAnsi="標楷體"/>
        </w:rPr>
        <w:br/>
      </w:r>
      <w:r>
        <w:rPr>
          <w:rFonts w:ascii="標楷體" w:eastAsia="標楷體" w:hAnsi="標楷體"/>
        </w:rPr>
        <w:tab/>
        <w:t>審查委員共推委員1人為召集人，但指導教授不得擔任召集人。</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本系碩士班研究生對論文題目之修改及論文內容之研究與撰寫，應受指導教授之指導。指導教授之變更須經原任指導教授、新任指導教授及系主任之同意。</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本系碩士班研究生在規定修業期限內，修滿規定科目與學分，成績及格，其碩士論文研究計畫書經審查通過3個月﹝含﹞以上，且其碩士論文經指導教授核可，經系主任同意後，始得申請碩士學位考試。</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碩士學位考試應由碩士學位考試委員會執行之。</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本系碩士學位考試委員會委員原則上由碩士論文研究計畫書審查委員會委員擔任，經系主任向校長推薦，由校長遴聘組成之。</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 xml:space="preserve">本系碩士班研究生在規定修業期限內，合於下列各項之規定者，始得畢業並授予碩士學位： </w:t>
      </w:r>
    </w:p>
    <w:p w:rsidR="00A16F20" w:rsidRDefault="00AC40D7">
      <w:pPr>
        <w:pStyle w:val="a9"/>
        <w:tabs>
          <w:tab w:val="left" w:pos="5103"/>
        </w:tabs>
        <w:ind w:left="432"/>
        <w:jc w:val="both"/>
        <w:rPr>
          <w:rFonts w:ascii="標楷體" w:eastAsia="標楷體" w:hAnsi="標楷體"/>
        </w:rPr>
      </w:pPr>
      <w:r>
        <w:rPr>
          <w:rFonts w:ascii="標楷體" w:eastAsia="標楷體" w:hAnsi="標楷體"/>
        </w:rPr>
        <w:t xml:space="preserve">1.修業符合規定年限，並修滿規定科目與學分，成績及格者。 </w:t>
      </w:r>
    </w:p>
    <w:p w:rsidR="00A16F20" w:rsidRDefault="00AC40D7">
      <w:pPr>
        <w:pStyle w:val="a9"/>
        <w:tabs>
          <w:tab w:val="left" w:pos="5103"/>
        </w:tabs>
        <w:ind w:left="432"/>
        <w:jc w:val="both"/>
        <w:rPr>
          <w:rFonts w:ascii="標楷體" w:eastAsia="標楷體" w:hAnsi="標楷體"/>
        </w:rPr>
      </w:pPr>
      <w:r>
        <w:rPr>
          <w:rFonts w:ascii="標楷體" w:eastAsia="標楷體" w:hAnsi="標楷體"/>
        </w:rPr>
        <w:t>2.碩士學位考試及格者。</w:t>
      </w:r>
    </w:p>
    <w:p w:rsidR="00A16F20" w:rsidRDefault="00AC40D7">
      <w:pPr>
        <w:tabs>
          <w:tab w:val="left" w:pos="5103"/>
        </w:tabs>
      </w:pPr>
      <w:bookmarkStart w:id="0" w:name="_GoBack"/>
      <w:bookmarkEnd w:id="0"/>
      <w:r>
        <w:rPr>
          <w:rFonts w:ascii="標楷體" w:eastAsia="標楷體" w:hAnsi="標楷體"/>
          <w:sz w:val="28"/>
        </w:rPr>
        <w:t>肆、附則</w:t>
      </w:r>
    </w:p>
    <w:p w:rsidR="00A16F20" w:rsidRDefault="00AC40D7">
      <w:pPr>
        <w:pStyle w:val="a9"/>
        <w:numPr>
          <w:ilvl w:val="0"/>
          <w:numId w:val="1"/>
        </w:numPr>
        <w:tabs>
          <w:tab w:val="left" w:pos="48"/>
        </w:tabs>
        <w:jc w:val="both"/>
        <w:rPr>
          <w:rFonts w:ascii="標楷體" w:eastAsia="標楷體" w:hAnsi="標楷體"/>
        </w:rPr>
      </w:pPr>
      <w:r>
        <w:rPr>
          <w:rFonts w:ascii="標楷體" w:eastAsia="標楷體" w:hAnsi="標楷體"/>
        </w:rPr>
        <w:t>本規則如有未盡事宜，依教育部有關法令及本校學則等其他有關規定辦理。</w:t>
      </w:r>
    </w:p>
    <w:p w:rsidR="00A16F20" w:rsidRDefault="00AC40D7">
      <w:pPr>
        <w:pStyle w:val="a9"/>
        <w:numPr>
          <w:ilvl w:val="0"/>
          <w:numId w:val="1"/>
        </w:numPr>
        <w:tabs>
          <w:tab w:val="left" w:pos="48"/>
        </w:tabs>
        <w:jc w:val="both"/>
      </w:pPr>
      <w:r>
        <w:rPr>
          <w:rFonts w:ascii="標楷體" w:eastAsia="標楷體" w:hAnsi="標楷體"/>
        </w:rPr>
        <w:t>本辦法經本學系</w:t>
      </w:r>
      <w:proofErr w:type="gramStart"/>
      <w:r>
        <w:rPr>
          <w:rFonts w:ascii="標楷體" w:eastAsia="標楷體" w:hAnsi="標楷體"/>
        </w:rPr>
        <w:t>系</w:t>
      </w:r>
      <w:proofErr w:type="gramEnd"/>
      <w:r>
        <w:rPr>
          <w:rFonts w:ascii="標楷體" w:eastAsia="標楷體" w:hAnsi="標楷體"/>
        </w:rPr>
        <w:t>務會議通過日起生效，修正時亦同。</w:t>
      </w:r>
    </w:p>
    <w:sectPr w:rsidR="00A16F20">
      <w:footerReference w:type="default" r:id="rId7"/>
      <w:pgSz w:w="11906" w:h="16838"/>
      <w:pgMar w:top="1134" w:right="1134" w:bottom="709" w:left="1134"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9E" w:rsidRDefault="00E9169E">
      <w:r>
        <w:separator/>
      </w:r>
    </w:p>
  </w:endnote>
  <w:endnote w:type="continuationSeparator" w:id="0">
    <w:p w:rsidR="00E9169E" w:rsidRDefault="00E9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E46" w:rsidRDefault="00AC40D7">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A54E46" w:rsidRDefault="00E91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9E" w:rsidRDefault="00E9169E">
      <w:r>
        <w:rPr>
          <w:color w:val="000000"/>
        </w:rPr>
        <w:separator/>
      </w:r>
    </w:p>
  </w:footnote>
  <w:footnote w:type="continuationSeparator" w:id="0">
    <w:p w:rsidR="00E9169E" w:rsidRDefault="00E9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52F63"/>
    <w:multiLevelType w:val="multilevel"/>
    <w:tmpl w:val="2E98CB76"/>
    <w:lvl w:ilvl="0">
      <w:start w:val="1"/>
      <w:numFmt w:val="taiwaneseCountingThousand"/>
      <w:lvlText w:val="%1、"/>
      <w:lvlJc w:val="left"/>
      <w:pPr>
        <w:ind w:left="432" w:hanging="432"/>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EF9033D"/>
    <w:multiLevelType w:val="multilevel"/>
    <w:tmpl w:val="B7AE123A"/>
    <w:lvl w:ilvl="0">
      <w:start w:val="1"/>
      <w:numFmt w:val="decimal"/>
      <w:lvlText w:val="%1."/>
      <w:lvlJc w:val="left"/>
      <w:pPr>
        <w:ind w:left="787" w:hanging="36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20"/>
    <w:rsid w:val="004A42E3"/>
    <w:rsid w:val="00582575"/>
    <w:rsid w:val="005D4FCE"/>
    <w:rsid w:val="00A16F20"/>
    <w:rsid w:val="00AC40D7"/>
    <w:rsid w:val="00B77D90"/>
    <w:rsid w:val="00C622E5"/>
    <w:rsid w:val="00E91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2DB8"/>
  <w15:docId w15:val="{18C9162A-4C49-4ED2-B9F3-BC3C247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paragraph" w:styleId="1">
    <w:name w:val="heading 1"/>
    <w:basedOn w:val="a"/>
    <w:uiPriority w:val="9"/>
    <w:qFormat/>
    <w:pPr>
      <w:widowControl/>
      <w:spacing w:before="100" w:after="100"/>
      <w:outlineLvl w:val="0"/>
    </w:pPr>
    <w:rPr>
      <w:rFonts w:ascii="新細明體" w:hAnsi="新細明體"/>
      <w:b/>
      <w:bCs/>
      <w:color w:val="FF76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ascii="Times New Roman" w:eastAsia="新細明體" w:hAnsi="Times New Roman" w:cs="Times New Roman"/>
      <w:sz w:val="20"/>
      <w:szCs w:val="20"/>
    </w:rPr>
  </w:style>
  <w:style w:type="paragraph" w:styleId="a7">
    <w:name w:val="Body Text"/>
    <w:basedOn w:val="a"/>
    <w:pPr>
      <w:widowControl/>
    </w:pPr>
    <w:rPr>
      <w:kern w:val="0"/>
      <w:sz w:val="20"/>
      <w:szCs w:val="20"/>
      <w:lang w:val="en-GB" w:eastAsia="en-US"/>
    </w:rPr>
  </w:style>
  <w:style w:type="character" w:customStyle="1" w:styleId="a8">
    <w:name w:val="本文 字元"/>
    <w:rPr>
      <w:rFonts w:ascii="Times New Roman" w:eastAsia="新細明體" w:hAnsi="Times New Roman" w:cs="Times New Roman"/>
      <w:kern w:val="0"/>
      <w:szCs w:val="20"/>
      <w:lang w:val="en-GB" w:eastAsia="en-US"/>
    </w:rPr>
  </w:style>
  <w:style w:type="paragraph" w:styleId="a9">
    <w:name w:val="List Paragraph"/>
    <w:basedOn w:val="a"/>
    <w:pPr>
      <w:ind w:left="480"/>
    </w:pPr>
  </w:style>
  <w:style w:type="character" w:customStyle="1" w:styleId="t15b1">
    <w:name w:val="t15b1"/>
    <w:rPr>
      <w:b/>
      <w:bCs/>
      <w:color w:val="333333"/>
      <w:sz w:val="23"/>
      <w:szCs w:val="23"/>
    </w:rPr>
  </w:style>
  <w:style w:type="character" w:customStyle="1" w:styleId="10">
    <w:name w:val="標題 1 字元"/>
    <w:rPr>
      <w:rFonts w:ascii="新細明體" w:eastAsia="新細明體" w:hAnsi="新細明體" w:cs="新細明體"/>
      <w:b/>
      <w:bCs/>
      <w:color w:val="FF7600"/>
      <w:kern w:val="3"/>
      <w:sz w:val="23"/>
      <w:szCs w:val="23"/>
    </w:rPr>
  </w:style>
  <w:style w:type="paragraph" w:styleId="Web">
    <w:name w:val="Normal (Web)"/>
    <w:basedOn w:val="a"/>
    <w:pPr>
      <w:widowControl/>
      <w:spacing w:before="100" w:after="100"/>
    </w:pPr>
    <w:rPr>
      <w:rFonts w:ascii="新細明體" w:hAnsi="新細明體" w:cs="新細明體"/>
      <w:kern w:val="0"/>
    </w:rPr>
  </w:style>
  <w:style w:type="character" w:styleId="aa">
    <w:name w:val="Strong"/>
    <w:rPr>
      <w:b/>
      <w:bCs/>
    </w:rPr>
  </w:style>
  <w:style w:type="character" w:styleId="ab">
    <w:name w:val="Emphasis"/>
    <w:rPr>
      <w:b w:val="0"/>
      <w:bCs w:val="0"/>
      <w:i w:val="0"/>
      <w:iCs w:val="0"/>
      <w:color w:val="CC0033"/>
    </w:rPr>
  </w:style>
  <w:style w:type="character" w:customStyle="1" w:styleId="ft">
    <w:name w:val="ft"/>
    <w:basedOn w:val="a0"/>
  </w:style>
  <w:style w:type="character" w:styleId="HTML">
    <w:name w:val="HTML Typewriter"/>
    <w:rPr>
      <w:rFonts w:ascii="細明體" w:eastAsia="細明體" w:hAnsi="細明體" w:cs="細明體"/>
      <w:sz w:val="24"/>
      <w:szCs w:val="24"/>
    </w:rPr>
  </w:style>
  <w:style w:type="character" w:styleId="ac">
    <w:name w:val="annotation reference"/>
    <w:rPr>
      <w:sz w:val="18"/>
      <w:szCs w:val="18"/>
    </w:rPr>
  </w:style>
  <w:style w:type="paragraph" w:styleId="ad">
    <w:name w:val="annotation text"/>
    <w:basedOn w:val="a"/>
  </w:style>
  <w:style w:type="character" w:customStyle="1" w:styleId="ae">
    <w:name w:val="註解文字 字元"/>
    <w:rPr>
      <w:rFonts w:ascii="Times New Roman" w:hAnsi="Times New Roman"/>
      <w:kern w:val="3"/>
      <w:sz w:val="24"/>
      <w:szCs w:val="24"/>
    </w:rPr>
  </w:style>
  <w:style w:type="paragraph" w:styleId="af">
    <w:name w:val="annotation subject"/>
    <w:basedOn w:val="ad"/>
    <w:next w:val="ad"/>
    <w:rPr>
      <w:b/>
      <w:bCs/>
    </w:rPr>
  </w:style>
  <w:style w:type="character" w:customStyle="1" w:styleId="af0">
    <w:name w:val="註解主旨 字元"/>
    <w:rPr>
      <w:rFonts w:ascii="Times New Roman" w:hAnsi="Times New Roman"/>
      <w:b/>
      <w:bCs/>
      <w:kern w:val="3"/>
      <w:sz w:val="24"/>
      <w:szCs w:val="24"/>
    </w:rPr>
  </w:style>
  <w:style w:type="paragraph" w:styleId="af1">
    <w:name w:val="Balloon Text"/>
    <w:basedOn w:val="a"/>
    <w:rPr>
      <w:rFonts w:ascii="Cambria" w:hAnsi="Cambria"/>
      <w:sz w:val="18"/>
      <w:szCs w:val="18"/>
    </w:rPr>
  </w:style>
  <w:style w:type="character" w:customStyle="1" w:styleId="af2">
    <w:name w:val="註解方塊文字 字元"/>
    <w:rPr>
      <w:rFonts w:ascii="Cambria" w:eastAsia="新細明體" w:hAnsi="Cambria" w:cs="Times New Roman"/>
      <w:kern w:val="3"/>
      <w:sz w:val="18"/>
      <w:szCs w:val="18"/>
    </w:rPr>
  </w:style>
  <w:style w:type="paragraph" w:styleId="af3">
    <w:name w:val="endnote text"/>
    <w:basedOn w:val="a"/>
    <w:pPr>
      <w:snapToGrid w:val="0"/>
    </w:pPr>
  </w:style>
  <w:style w:type="character" w:customStyle="1" w:styleId="af4">
    <w:name w:val="章節附註文字 字元"/>
    <w:rPr>
      <w:rFonts w:ascii="Times New Roman" w:hAnsi="Times New Roman"/>
      <w:kern w:val="3"/>
      <w:sz w:val="24"/>
      <w:szCs w:val="24"/>
    </w:rPr>
  </w:style>
  <w:style w:type="character" w:styleId="af5">
    <w:name w:val="endnote reference"/>
    <w:rPr>
      <w:position w:val="0"/>
      <w:vertAlign w:val="superscript"/>
    </w:rPr>
  </w:style>
  <w:style w:type="paragraph" w:styleId="af6">
    <w:name w:val="Revision"/>
    <w:pPr>
      <w:suppressAutoHyphens/>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1359</Words>
  <Characters>7750</Characters>
  <Application>Microsoft Office Word</Application>
  <DocSecurity>0</DocSecurity>
  <Lines>64</Lines>
  <Paragraphs>18</Paragraphs>
  <ScaleCrop>false</ScaleCrop>
  <Company>亞洲大學 Asia University</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yuling</dc:creator>
  <cp:lastModifiedBy>石芳毓</cp:lastModifiedBy>
  <cp:revision>4</cp:revision>
  <dcterms:created xsi:type="dcterms:W3CDTF">2024-08-29T09:02:00Z</dcterms:created>
  <dcterms:modified xsi:type="dcterms:W3CDTF">2024-09-02T07:45:00Z</dcterms:modified>
</cp:coreProperties>
</file>